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704D" w:rsidRDefault="007139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York Primary School</w:t>
      </w:r>
    </w:p>
    <w:p w:rsidR="00F9704D" w:rsidRDefault="00F9704D">
      <w:pPr>
        <w:jc w:val="center"/>
      </w:pPr>
    </w:p>
    <w:p w:rsidR="00F9704D" w:rsidRDefault="004F0EE8">
      <w:pPr>
        <w:rPr>
          <w:b/>
          <w:u w:val="single"/>
        </w:rPr>
      </w:pPr>
      <w:r>
        <w:rPr>
          <w:b/>
          <w:u w:val="single"/>
        </w:rPr>
        <w:t>SEND Context 2020/2021</w:t>
      </w:r>
    </w:p>
    <w:p w:rsidR="00F9704D" w:rsidRDefault="00F9704D">
      <w:pPr>
        <w:rPr>
          <w:b/>
          <w:u w:val="single"/>
        </w:rPr>
      </w:pPr>
    </w:p>
    <w:p w:rsidR="00F9704D" w:rsidRDefault="00EF6B0F">
      <w:pPr>
        <w:numPr>
          <w:ilvl w:val="0"/>
          <w:numId w:val="2"/>
        </w:numPr>
      </w:pPr>
      <w:r>
        <w:t>In 2020/21 there were 72</w:t>
      </w:r>
      <w:r w:rsidR="00713961">
        <w:t xml:space="preserve"> pupils on the SEND register</w:t>
      </w:r>
    </w:p>
    <w:p w:rsidR="00F9704D" w:rsidRDefault="00EF6B0F">
      <w:pPr>
        <w:numPr>
          <w:ilvl w:val="0"/>
          <w:numId w:val="2"/>
        </w:numPr>
      </w:pPr>
      <w:r>
        <w:t>8 pupils had an EHCP (11</w:t>
      </w:r>
      <w:r w:rsidR="00713961">
        <w:t>%)</w:t>
      </w:r>
    </w:p>
    <w:p w:rsidR="00F9704D" w:rsidRDefault="0061590F">
      <w:pPr>
        <w:numPr>
          <w:ilvl w:val="0"/>
          <w:numId w:val="2"/>
        </w:numPr>
      </w:pPr>
      <w:r>
        <w:t>45 boys and 27</w:t>
      </w:r>
      <w:r w:rsidR="00713961">
        <w:t xml:space="preserve"> girls</w:t>
      </w:r>
    </w:p>
    <w:p w:rsidR="00F9704D" w:rsidRDefault="0061590F">
      <w:pPr>
        <w:ind w:left="720"/>
      </w:pPr>
      <w:r>
        <w:t>7</w:t>
      </w:r>
      <w:r w:rsidR="00713961">
        <w:t xml:space="preserve">% SEN pupils are EAL and receive additional support from EMTAS (Ethnic Minority and </w:t>
      </w:r>
      <w:proofErr w:type="spellStart"/>
      <w:r w:rsidR="00713961">
        <w:t>Traveller</w:t>
      </w:r>
      <w:proofErr w:type="spellEnd"/>
      <w:r w:rsidR="00713961">
        <w:t xml:space="preserve"> Achievement Service) including additional resources, intervention in English and relevant visual aids.</w:t>
      </w:r>
    </w:p>
    <w:p w:rsidR="00F9704D" w:rsidRDefault="0061590F">
      <w:pPr>
        <w:numPr>
          <w:ilvl w:val="0"/>
          <w:numId w:val="2"/>
        </w:numPr>
      </w:pPr>
      <w:r>
        <w:t>6</w:t>
      </w:r>
      <w:r w:rsidR="00713961">
        <w:t xml:space="preserve"> pupils were on the Speech and Language caseload and received additional support</w:t>
      </w:r>
    </w:p>
    <w:p w:rsidR="00F9704D" w:rsidRDefault="0061590F">
      <w:pPr>
        <w:ind w:left="720"/>
      </w:pPr>
      <w:r>
        <w:t>4</w:t>
      </w:r>
      <w:r w:rsidR="00713961">
        <w:t xml:space="preserve"> pupils were on the Language and Communication caseload and received additional support</w:t>
      </w:r>
    </w:p>
    <w:p w:rsidR="00F9704D" w:rsidRDefault="0061590F">
      <w:pPr>
        <w:numPr>
          <w:ilvl w:val="0"/>
          <w:numId w:val="2"/>
        </w:numPr>
      </w:pPr>
      <w:r>
        <w:t>5</w:t>
      </w:r>
      <w:r w:rsidR="00713961">
        <w:t xml:space="preserve"> SEN pupils were referred to and reviewed by the Educational Psychologist to support learning strategies in school and/or support with statutory paperwork for submission for statutory assessment.</w:t>
      </w:r>
    </w:p>
    <w:p w:rsidR="00F9704D" w:rsidRDefault="0061590F">
      <w:pPr>
        <w:numPr>
          <w:ilvl w:val="0"/>
          <w:numId w:val="2"/>
        </w:numPr>
      </w:pPr>
      <w:r>
        <w:t>2</w:t>
      </w:r>
      <w:r w:rsidR="00713961">
        <w:t xml:space="preserve"> SEN pupils were referred to Silverdale ARP</w:t>
      </w:r>
    </w:p>
    <w:p w:rsidR="00F9704D" w:rsidRDefault="0061590F">
      <w:pPr>
        <w:numPr>
          <w:ilvl w:val="0"/>
          <w:numId w:val="2"/>
        </w:numPr>
      </w:pPr>
      <w:r>
        <w:t>32</w:t>
      </w:r>
      <w:r w:rsidR="00713961">
        <w:t xml:space="preserve"> pupils on the SEN register were SMEH, (Social, Emotional, Mental Health)</w:t>
      </w:r>
    </w:p>
    <w:p w:rsidR="00F9704D" w:rsidRDefault="0061590F">
      <w:pPr>
        <w:numPr>
          <w:ilvl w:val="0"/>
          <w:numId w:val="2"/>
        </w:numPr>
      </w:pPr>
      <w:r>
        <w:t>27</w:t>
      </w:r>
      <w:r w:rsidR="00713961">
        <w:t xml:space="preserve"> pupils on the SEN register were Speech or Language and Communication</w:t>
      </w:r>
    </w:p>
    <w:p w:rsidR="00F9704D" w:rsidRDefault="0061590F">
      <w:pPr>
        <w:numPr>
          <w:ilvl w:val="0"/>
          <w:numId w:val="2"/>
        </w:numPr>
      </w:pPr>
      <w:proofErr w:type="gramStart"/>
      <w:r>
        <w:t>18</w:t>
      </w:r>
      <w:r w:rsidR="00713961">
        <w:t xml:space="preserve">  pupils</w:t>
      </w:r>
      <w:proofErr w:type="gramEnd"/>
      <w:r w:rsidR="00713961">
        <w:t xml:space="preserve"> on the register were for ‘other’ needs.</w:t>
      </w:r>
    </w:p>
    <w:p w:rsidR="00F9704D" w:rsidRDefault="00F9704D"/>
    <w:p w:rsidR="00F9704D" w:rsidRDefault="00713961">
      <w:pPr>
        <w:rPr>
          <w:b/>
        </w:rPr>
      </w:pPr>
      <w:r>
        <w:rPr>
          <w:b/>
        </w:rPr>
        <w:t>EYFS</w:t>
      </w:r>
    </w:p>
    <w:p w:rsidR="00F9704D" w:rsidRDefault="00CA222F">
      <w:r>
        <w:t>Within EYFS 0</w:t>
      </w:r>
      <w:r w:rsidR="00713961">
        <w:t xml:space="preserve"> </w:t>
      </w:r>
      <w:proofErr w:type="gramStart"/>
      <w:r w:rsidR="00713961">
        <w:t xml:space="preserve">SEN </w:t>
      </w:r>
      <w:bookmarkStart w:id="0" w:name="_GoBack"/>
      <w:bookmarkEnd w:id="0"/>
      <w:r w:rsidR="00713961">
        <w:t xml:space="preserve"> pupil</w:t>
      </w:r>
      <w:proofErr w:type="gramEnd"/>
      <w:r w:rsidR="00713961">
        <w:t xml:space="preserve"> (out of 3) achieved a Good Level of Development (GLD) </w:t>
      </w:r>
    </w:p>
    <w:p w:rsidR="00F9704D" w:rsidRDefault="00F9704D"/>
    <w:p w:rsidR="00F9704D" w:rsidRDefault="00713961">
      <w:pPr>
        <w:rPr>
          <w:b/>
        </w:rPr>
      </w:pPr>
      <w:r>
        <w:rPr>
          <w:b/>
        </w:rPr>
        <w:t>Phonics</w:t>
      </w:r>
    </w:p>
    <w:p w:rsidR="00F9704D" w:rsidRDefault="0061590F">
      <w:proofErr w:type="gramStart"/>
      <w:r>
        <w:t>The  2020</w:t>
      </w:r>
      <w:proofErr w:type="gramEnd"/>
      <w:r>
        <w:t>/21</w:t>
      </w:r>
      <w:r w:rsidR="00713961">
        <w:t xml:space="preserve"> Phonics assessment d</w:t>
      </w:r>
      <w:r w:rsidR="00CE131E">
        <w:t>id not take place due to COVID.</w:t>
      </w:r>
    </w:p>
    <w:p w:rsidR="00F9704D" w:rsidRDefault="00F9704D"/>
    <w:p w:rsidR="00F9704D" w:rsidRDefault="00713961">
      <w:pPr>
        <w:rPr>
          <w:b/>
          <w:u w:val="single"/>
        </w:rPr>
      </w:pPr>
      <w:r>
        <w:rPr>
          <w:b/>
          <w:u w:val="single"/>
        </w:rPr>
        <w:t>Statutory Data</w:t>
      </w:r>
    </w:p>
    <w:p w:rsidR="00F9704D" w:rsidRDefault="00713961">
      <w:r>
        <w:t>The data tables below present the last set of statutory data.  Due to COVID19 there</w:t>
      </w:r>
      <w:r w:rsidR="0061590F">
        <w:t xml:space="preserve"> were no SATS in the </w:t>
      </w:r>
      <w:proofErr w:type="gramStart"/>
      <w:r w:rsidR="0061590F">
        <w:t>Spring</w:t>
      </w:r>
      <w:proofErr w:type="gramEnd"/>
      <w:r w:rsidR="0061590F">
        <w:t xml:space="preserve"> 2021</w:t>
      </w:r>
      <w:r>
        <w:t>. Current SEN figures indicate an increase in pupil SEN from 18/19 to 19/20 (65 v 80) with a high proportion of this increase being pupils in Year 2 and 6. Using internal school data and teacher assessment</w:t>
      </w:r>
      <w:r w:rsidR="0061590F">
        <w:t xml:space="preserve"> the attainment figures for 2021</w:t>
      </w:r>
      <w:r>
        <w:t xml:space="preserve"> are lower than 2019. These are reflected in the blue brackets. </w:t>
      </w:r>
    </w:p>
    <w:p w:rsidR="00F9704D" w:rsidRDefault="00F9704D"/>
    <w:p w:rsidR="00F9704D" w:rsidRDefault="0061590F">
      <w:pPr>
        <w:rPr>
          <w:b/>
        </w:rPr>
      </w:pPr>
      <w:r>
        <w:rPr>
          <w:b/>
        </w:rPr>
        <w:t>End of KS1 SEND.  EHCP</w:t>
      </w:r>
      <w:r w:rsidR="00713961">
        <w:rPr>
          <w:b/>
        </w:rPr>
        <w:t xml:space="preserve"> and K-Send Support</w:t>
      </w:r>
      <w:r>
        <w:rPr>
          <w:b/>
        </w:rPr>
        <w:t xml:space="preserve"> </w:t>
      </w:r>
      <w:r w:rsidR="008F0D3B">
        <w:rPr>
          <w:b/>
          <w:color w:val="4F81BD" w:themeColor="accent1"/>
        </w:rPr>
        <w:t>7</w:t>
      </w:r>
      <w:r w:rsidRPr="0061590F">
        <w:rPr>
          <w:b/>
          <w:color w:val="4F81BD" w:themeColor="accent1"/>
        </w:rPr>
        <w:t xml:space="preserve"> SEND children Year 2</w:t>
      </w:r>
    </w:p>
    <w:p w:rsidR="00F9704D" w:rsidRDefault="00713961">
      <w:r>
        <w:t xml:space="preserve">New York Primary School </w:t>
      </w:r>
      <w:r>
        <w:rPr>
          <w:b/>
        </w:rPr>
        <w:t>2018/2019</w:t>
      </w:r>
      <w:r>
        <w:t xml:space="preserve"> compared to National and L</w:t>
      </w:r>
      <w:r w:rsidR="0061590F">
        <w:t>ocal Authority performance. 2020/2021</w:t>
      </w:r>
      <w:r>
        <w:t xml:space="preserve"> teacher assessment as at 20th March 2020 is in blue brackets.</w:t>
      </w:r>
    </w:p>
    <w:p w:rsidR="00F9704D" w:rsidRDefault="00F9704D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F9704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- decile 3 </w:t>
            </w:r>
          </w:p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Idaci</w:t>
            </w:r>
            <w:proofErr w:type="spellEnd"/>
            <w:r>
              <w:rPr>
                <w:sz w:val="20"/>
                <w:szCs w:val="20"/>
              </w:rPr>
              <w:t xml:space="preserve"> - decile2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Reading%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Writing%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RWM%</w:t>
            </w:r>
          </w:p>
        </w:tc>
      </w:tr>
      <w:tr w:rsidR="00F9704D"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New York</w:t>
            </w:r>
          </w:p>
        </w:tc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 </w:t>
            </w:r>
            <w:r w:rsidR="008F0D3B">
              <w:rPr>
                <w:b/>
                <w:color w:val="0000FF"/>
                <w:sz w:val="24"/>
                <w:szCs w:val="24"/>
              </w:rPr>
              <w:t>(29</w:t>
            </w:r>
            <w:r>
              <w:rPr>
                <w:b/>
                <w:color w:val="0000FF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 </w:t>
            </w:r>
            <w:r w:rsidR="008F0D3B">
              <w:rPr>
                <w:b/>
                <w:color w:val="0000FF"/>
                <w:sz w:val="24"/>
                <w:szCs w:val="24"/>
              </w:rPr>
              <w:t>(14</w:t>
            </w:r>
            <w:r>
              <w:rPr>
                <w:b/>
                <w:color w:val="0000FF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 </w:t>
            </w:r>
            <w:r w:rsidR="008F0D3B">
              <w:rPr>
                <w:b/>
                <w:color w:val="0000FF"/>
                <w:sz w:val="24"/>
                <w:szCs w:val="24"/>
              </w:rPr>
              <w:t>(29</w:t>
            </w:r>
            <w:r>
              <w:rPr>
                <w:b/>
                <w:color w:val="0000FF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sz w:val="24"/>
                <w:szCs w:val="24"/>
              </w:rPr>
              <w:t xml:space="preserve">70 </w:t>
            </w:r>
          </w:p>
        </w:tc>
        <w:tc>
          <w:tcPr>
            <w:tcW w:w="15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F9704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L.A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F9704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National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F9704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 w:rsidP="008F0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New York year 2018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F9704D" w:rsidRDefault="00F9704D">
      <w:pPr>
        <w:rPr>
          <w:b/>
        </w:rPr>
      </w:pPr>
    </w:p>
    <w:p w:rsidR="00F9704D" w:rsidRDefault="00713961">
      <w:pPr>
        <w:rPr>
          <w:b/>
        </w:rPr>
      </w:pPr>
      <w:r>
        <w:rPr>
          <w:b/>
        </w:rPr>
        <w:t>End of KS2 SEND.  EHCP and K-Send Support</w:t>
      </w:r>
      <w:r w:rsidR="008F0D3B">
        <w:rPr>
          <w:b/>
        </w:rPr>
        <w:t xml:space="preserve"> </w:t>
      </w:r>
      <w:r w:rsidR="00DA0857">
        <w:rPr>
          <w:b/>
          <w:color w:val="4F81BD" w:themeColor="accent1"/>
        </w:rPr>
        <w:t>17</w:t>
      </w:r>
      <w:r w:rsidR="008F0D3B">
        <w:rPr>
          <w:b/>
          <w:color w:val="4F81BD" w:themeColor="accent1"/>
        </w:rPr>
        <w:t xml:space="preserve"> </w:t>
      </w:r>
      <w:r w:rsidR="008F0D3B" w:rsidRPr="0061590F">
        <w:rPr>
          <w:b/>
          <w:color w:val="4F81BD" w:themeColor="accent1"/>
        </w:rPr>
        <w:t>SEND children</w:t>
      </w:r>
      <w:r w:rsidR="008F0D3B">
        <w:rPr>
          <w:b/>
          <w:color w:val="4F81BD" w:themeColor="accent1"/>
        </w:rPr>
        <w:t xml:space="preserve"> Year 6</w:t>
      </w:r>
    </w:p>
    <w:p w:rsidR="00F9704D" w:rsidRDefault="00713961">
      <w:r>
        <w:t xml:space="preserve">New York Primary School </w:t>
      </w:r>
      <w:r>
        <w:rPr>
          <w:b/>
        </w:rPr>
        <w:t>2018/2019</w:t>
      </w:r>
      <w:r>
        <w:t xml:space="preserve"> compared to National and Local Authority performance.</w:t>
      </w:r>
    </w:p>
    <w:p w:rsidR="00F9704D" w:rsidRDefault="008F0D3B">
      <w:r>
        <w:t>2020/2021</w:t>
      </w:r>
      <w:r w:rsidR="00713961">
        <w:t xml:space="preserve"> teacher assessment as at 20th March 2020 is in blue brackets.</w:t>
      </w:r>
    </w:p>
    <w:p w:rsidR="00F9704D" w:rsidRDefault="00F9704D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F9704D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- decile 3 </w:t>
            </w:r>
          </w:p>
          <w:p w:rsidR="00F9704D" w:rsidRDefault="00713961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Idaci</w:t>
            </w:r>
            <w:proofErr w:type="spellEnd"/>
            <w:r>
              <w:rPr>
                <w:sz w:val="20"/>
                <w:szCs w:val="20"/>
              </w:rPr>
              <w:t xml:space="preserve"> - decile2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Reading%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Writing%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Maths</w:t>
            </w:r>
            <w:proofErr w:type="spellEnd"/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RWM%</w:t>
            </w:r>
          </w:p>
        </w:tc>
      </w:tr>
      <w:tr w:rsidR="00F9704D">
        <w:tc>
          <w:tcPr>
            <w:tcW w:w="1872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New York</w:t>
            </w:r>
          </w:p>
        </w:tc>
        <w:tc>
          <w:tcPr>
            <w:tcW w:w="1872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 </w:t>
            </w:r>
            <w:r w:rsidR="008F0D3B">
              <w:rPr>
                <w:b/>
                <w:color w:val="0000FF"/>
                <w:sz w:val="24"/>
                <w:szCs w:val="24"/>
              </w:rPr>
              <w:t>(24</w:t>
            </w:r>
            <w:r>
              <w:rPr>
                <w:b/>
                <w:color w:val="0000FF"/>
                <w:sz w:val="24"/>
                <w:szCs w:val="24"/>
              </w:rPr>
              <w:t>)</w:t>
            </w:r>
          </w:p>
        </w:tc>
        <w:tc>
          <w:tcPr>
            <w:tcW w:w="1872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 </w:t>
            </w:r>
            <w:r w:rsidR="008F0D3B">
              <w:rPr>
                <w:b/>
                <w:color w:val="0000FF"/>
                <w:sz w:val="24"/>
                <w:szCs w:val="24"/>
              </w:rPr>
              <w:t>(18</w:t>
            </w:r>
            <w:r>
              <w:rPr>
                <w:b/>
                <w:color w:val="0000FF"/>
                <w:sz w:val="24"/>
                <w:szCs w:val="24"/>
              </w:rPr>
              <w:t>)</w:t>
            </w:r>
          </w:p>
        </w:tc>
        <w:tc>
          <w:tcPr>
            <w:tcW w:w="1872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 </w:t>
            </w:r>
            <w:r w:rsidR="008F0D3B">
              <w:rPr>
                <w:b/>
                <w:color w:val="0000FF"/>
                <w:sz w:val="24"/>
                <w:szCs w:val="24"/>
              </w:rPr>
              <w:t>(53</w:t>
            </w:r>
            <w:r>
              <w:rPr>
                <w:b/>
                <w:color w:val="0000FF"/>
                <w:sz w:val="24"/>
                <w:szCs w:val="24"/>
              </w:rPr>
              <w:t>)</w:t>
            </w:r>
          </w:p>
        </w:tc>
        <w:tc>
          <w:tcPr>
            <w:tcW w:w="1872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 </w:t>
            </w:r>
            <w:r w:rsidR="00DA0857">
              <w:rPr>
                <w:b/>
                <w:color w:val="0000FF"/>
                <w:sz w:val="24"/>
                <w:szCs w:val="24"/>
              </w:rPr>
              <w:t xml:space="preserve"> (18</w:t>
            </w:r>
            <w:r>
              <w:rPr>
                <w:b/>
                <w:color w:val="0000FF"/>
                <w:sz w:val="24"/>
                <w:szCs w:val="24"/>
              </w:rPr>
              <w:t>)</w:t>
            </w:r>
          </w:p>
        </w:tc>
      </w:tr>
      <w:tr w:rsidR="00F9704D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L.A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F9704D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National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F9704D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New York previous year 2018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04D" w:rsidRDefault="007139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F9704D" w:rsidRDefault="00F9704D"/>
    <w:p w:rsidR="00F9704D" w:rsidRDefault="00713961">
      <w:pPr>
        <w:rPr>
          <w:b/>
          <w:u w:val="single"/>
        </w:rPr>
      </w:pPr>
      <w:r>
        <w:rPr>
          <w:b/>
          <w:u w:val="single"/>
        </w:rPr>
        <w:t>Actions to impact upon gaps across phases as a result of lost learning from COVID19.</w:t>
      </w:r>
    </w:p>
    <w:p w:rsidR="00F9704D" w:rsidRDefault="00713961">
      <w:pPr>
        <w:numPr>
          <w:ilvl w:val="0"/>
          <w:numId w:val="1"/>
        </w:numPr>
      </w:pPr>
      <w:r>
        <w:t>Scheduled interventions targeting specific gaps in learning</w:t>
      </w:r>
    </w:p>
    <w:p w:rsidR="00F9704D" w:rsidRDefault="00713961">
      <w:pPr>
        <w:numPr>
          <w:ilvl w:val="0"/>
          <w:numId w:val="1"/>
        </w:numPr>
      </w:pPr>
      <w:r>
        <w:t>Differentiated learning to focus upon basic skills needed to underpin future learning</w:t>
      </w:r>
    </w:p>
    <w:p w:rsidR="00F9704D" w:rsidRDefault="00713961">
      <w:pPr>
        <w:numPr>
          <w:ilvl w:val="0"/>
          <w:numId w:val="1"/>
        </w:numPr>
      </w:pPr>
      <w:r>
        <w:t>Adaptive learning with shorter lessons and adjusted pace to suit the need of learners</w:t>
      </w:r>
    </w:p>
    <w:p w:rsidR="00F9704D" w:rsidRDefault="00713961">
      <w:pPr>
        <w:numPr>
          <w:ilvl w:val="0"/>
          <w:numId w:val="1"/>
        </w:numPr>
      </w:pPr>
      <w:r>
        <w:t xml:space="preserve">Additional teacher appointed to work with SEN to support gaps in learning </w:t>
      </w:r>
    </w:p>
    <w:p w:rsidR="00F9704D" w:rsidRDefault="00713961">
      <w:pPr>
        <w:numPr>
          <w:ilvl w:val="0"/>
          <w:numId w:val="1"/>
        </w:numPr>
      </w:pPr>
      <w:r>
        <w:t>Wellbeing focus to promote resilience positive mental health among SEN pupils</w:t>
      </w:r>
    </w:p>
    <w:p w:rsidR="00F9704D" w:rsidRDefault="00713961">
      <w:pPr>
        <w:numPr>
          <w:ilvl w:val="0"/>
          <w:numId w:val="1"/>
        </w:numPr>
      </w:pPr>
      <w:r>
        <w:t xml:space="preserve">Specific SMEH intervention </w:t>
      </w:r>
      <w:r w:rsidR="00CE131E">
        <w:t>programs</w:t>
      </w:r>
    </w:p>
    <w:p w:rsidR="00F9704D" w:rsidRDefault="00713961">
      <w:pPr>
        <w:numPr>
          <w:ilvl w:val="0"/>
          <w:numId w:val="1"/>
        </w:numPr>
      </w:pPr>
      <w:r>
        <w:t>Project work to complete as homework tasks to engage families in learning together</w:t>
      </w:r>
    </w:p>
    <w:p w:rsidR="00F9704D" w:rsidRDefault="00713961">
      <w:pPr>
        <w:numPr>
          <w:ilvl w:val="0"/>
          <w:numId w:val="1"/>
        </w:numPr>
      </w:pPr>
      <w:r>
        <w:t>Celebration events to promote the positives in pupil achievement</w:t>
      </w:r>
    </w:p>
    <w:p w:rsidR="00F9704D" w:rsidRDefault="00F9704D"/>
    <w:sectPr w:rsidR="00F9704D">
      <w:pgSz w:w="12240" w:h="15840"/>
      <w:pgMar w:top="1440" w:right="1008" w:bottom="144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632C"/>
    <w:multiLevelType w:val="multilevel"/>
    <w:tmpl w:val="B6345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D3659F"/>
    <w:multiLevelType w:val="multilevel"/>
    <w:tmpl w:val="C1427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4D"/>
    <w:rsid w:val="004F0EE8"/>
    <w:rsid w:val="0061590F"/>
    <w:rsid w:val="00713961"/>
    <w:rsid w:val="008F0D3B"/>
    <w:rsid w:val="00CA222F"/>
    <w:rsid w:val="00CE131E"/>
    <w:rsid w:val="00DA0857"/>
    <w:rsid w:val="00EF6B0F"/>
    <w:rsid w:val="00F9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6353"/>
  <w15:docId w15:val="{26E1CD82-B5B8-41BC-991D-5FF570BC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71042EA7</Template>
  <TotalTime>13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Jpotter</dc:creator>
  <cp:lastModifiedBy>Jpotter</cp:lastModifiedBy>
  <cp:revision>5</cp:revision>
  <dcterms:created xsi:type="dcterms:W3CDTF">2022-08-09T14:22:00Z</dcterms:created>
  <dcterms:modified xsi:type="dcterms:W3CDTF">2022-08-09T14:47:00Z</dcterms:modified>
</cp:coreProperties>
</file>